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09" w:rsidRDefault="00F93C09" w:rsidP="00F93C09">
      <w:pPr>
        <w:keepNext/>
        <w:keepLines/>
        <w:jc w:val="center"/>
      </w:pPr>
      <w:bookmarkStart w:id="0" w:name="bookmark1"/>
      <w:r>
        <w:rPr>
          <w:rStyle w:val="20"/>
          <w:rFonts w:eastAsia="Courier New"/>
          <w:b w:val="0"/>
          <w:bCs w:val="0"/>
        </w:rPr>
        <w:t>Embryo Transfer in Cattle</w:t>
      </w:r>
      <w:bookmarkEnd w:id="0"/>
    </w:p>
    <w:p w:rsidR="00F93C09" w:rsidRPr="00F93C09" w:rsidRDefault="00F93C09" w:rsidP="00F93C09"/>
    <w:p w:rsidR="00F93C09" w:rsidRPr="00F93C09" w:rsidRDefault="00F93C09" w:rsidP="00F93C09"/>
    <w:p w:rsidR="00F93C09" w:rsidRDefault="00F93C09" w:rsidP="00F93C09"/>
    <w:p w:rsidR="00F93C09" w:rsidRPr="005964C0" w:rsidRDefault="00F93C09" w:rsidP="00F93C09">
      <w:pPr>
        <w:keepNext/>
        <w:keepLines/>
        <w:spacing w:after="138" w:line="360" w:lineRule="auto"/>
        <w:rPr>
          <w:rFonts w:asciiTheme="minorBidi" w:hAnsiTheme="minorBidi" w:cstheme="minorBidi"/>
        </w:rPr>
      </w:pPr>
      <w:bookmarkStart w:id="1" w:name="bookmark2"/>
      <w:r w:rsidRPr="005964C0">
        <w:rPr>
          <w:rStyle w:val="30"/>
          <w:rFonts w:asciiTheme="minorBidi" w:hAnsiTheme="minorBidi" w:cstheme="minorBidi"/>
        </w:rPr>
        <w:t>Introduction</w:t>
      </w:r>
      <w:bookmarkEnd w:id="1"/>
    </w:p>
    <w:p w:rsidR="00F93C09" w:rsidRDefault="00F93C09" w:rsidP="005964C0">
      <w:pPr>
        <w:spacing w:line="360" w:lineRule="auto"/>
        <w:ind w:firstLine="400"/>
        <w:jc w:val="both"/>
        <w:rPr>
          <w:rFonts w:asciiTheme="minorBidi" w:hAnsiTheme="minorBidi" w:cstheme="minorBidi"/>
        </w:rPr>
      </w:pPr>
      <w:r w:rsidRPr="00F93C09">
        <w:rPr>
          <w:rStyle w:val="22"/>
          <w:rFonts w:asciiTheme="minorBidi" w:hAnsiTheme="minorBidi" w:cstheme="minorBidi"/>
          <w:sz w:val="24"/>
          <w:szCs w:val="24"/>
        </w:rPr>
        <w:t xml:space="preserve">Embryo transfer is one step in the process of removing one or more embryos from the reproductive tract of a donor female and transferring them to one or more recipient females. Embryos also can be produced in the laboratory via techniques such as </w:t>
      </w:r>
      <w:r w:rsidRPr="00F93C09">
        <w:rPr>
          <w:rStyle w:val="23"/>
          <w:rFonts w:asciiTheme="minorBidi" w:hAnsiTheme="minorBidi" w:cstheme="minorBidi"/>
          <w:sz w:val="24"/>
          <w:szCs w:val="24"/>
        </w:rPr>
        <w:t>in vitro</w:t>
      </w:r>
      <w:r w:rsidRPr="00F93C09">
        <w:rPr>
          <w:rStyle w:val="22"/>
          <w:rFonts w:asciiTheme="minorBidi" w:hAnsiTheme="minorBidi" w:cstheme="minorBidi"/>
          <w:sz w:val="24"/>
          <w:szCs w:val="24"/>
        </w:rPr>
        <w:t xml:space="preserve"> fertilization or somatic cell cloning. But the actual transfer of an embryo is only one step in a series of processes that may include some or all of the following: superovulation and insemination of donors, collection of embryos, isolation, evaluation and short-term storage of embryos, micro</w:t>
      </w:r>
      <w:r w:rsidRPr="00F93C09">
        <w:rPr>
          <w:rStyle w:val="22"/>
          <w:rFonts w:asciiTheme="minorBidi" w:hAnsiTheme="minorBidi" w:cstheme="minorBidi"/>
          <w:sz w:val="24"/>
          <w:szCs w:val="24"/>
        </w:rPr>
        <w:softHyphen/>
        <w:t>manipulation and genetic testing of embryos, freezing of embryos and embryo transfer.</w:t>
      </w:r>
    </w:p>
    <w:p w:rsidR="00F93C09" w:rsidRPr="00F93C09" w:rsidRDefault="00F93C09" w:rsidP="005964C0">
      <w:pPr>
        <w:spacing w:line="360" w:lineRule="auto"/>
        <w:jc w:val="both"/>
        <w:rPr>
          <w:rFonts w:asciiTheme="minorBidi" w:hAnsiTheme="minorBidi" w:cstheme="minorBidi"/>
        </w:rPr>
      </w:pPr>
    </w:p>
    <w:p w:rsidR="00F93C09" w:rsidRPr="00F93C09" w:rsidRDefault="00F93C09" w:rsidP="00F93C09">
      <w:pPr>
        <w:keepNext/>
        <w:keepLines/>
        <w:spacing w:line="360" w:lineRule="auto"/>
        <w:outlineLvl w:val="2"/>
        <w:rPr>
          <w:rFonts w:asciiTheme="minorBidi" w:eastAsia="Century Schoolbook" w:hAnsiTheme="minorBidi" w:cstheme="minorBidi"/>
          <w:b/>
          <w:bCs/>
        </w:rPr>
      </w:pPr>
      <w:bookmarkStart w:id="2" w:name="bookmark4"/>
      <w:r w:rsidRPr="00F93C09">
        <w:rPr>
          <w:rFonts w:asciiTheme="minorBidi" w:eastAsia="Century Schoolbook" w:hAnsiTheme="minorBidi" w:cstheme="minorBidi"/>
          <w:b/>
          <w:bCs/>
          <w:color w:val="231F20"/>
        </w:rPr>
        <w:t>Steps for Embryo Transfer in Cattle</w:t>
      </w:r>
      <w:bookmarkEnd w:id="2"/>
    </w:p>
    <w:p w:rsidR="00F93C09" w:rsidRPr="00F93C09" w:rsidRDefault="00F93C09" w:rsidP="00F93C09">
      <w:pPr>
        <w:spacing w:after="226" w:line="360" w:lineRule="auto"/>
        <w:ind w:firstLine="380"/>
        <w:rPr>
          <w:rFonts w:asciiTheme="minorBidi" w:eastAsia="Century Schoolbook" w:hAnsiTheme="minorBidi" w:cstheme="minorBidi"/>
        </w:rPr>
      </w:pPr>
      <w:r w:rsidRPr="00F93C09">
        <w:rPr>
          <w:rFonts w:asciiTheme="minorBidi" w:eastAsia="Century Schoolbook" w:hAnsiTheme="minorBidi" w:cstheme="minorBidi"/>
          <w:color w:val="231F20"/>
        </w:rPr>
        <w:t>Virtually all commercial embryo transfers use nonsurgical recovery of the embryos rather than surgical tech</w:t>
      </w:r>
      <w:r w:rsidRPr="00F93C09">
        <w:rPr>
          <w:rFonts w:asciiTheme="minorBidi" w:eastAsia="Century Schoolbook" w:hAnsiTheme="minorBidi" w:cstheme="minorBidi"/>
          <w:color w:val="231F20"/>
        </w:rPr>
        <w:softHyphen/>
        <w:t>niques. The process involves several steps and considerable time as well as variable expense.</w:t>
      </w:r>
    </w:p>
    <w:p w:rsidR="00F93C09" w:rsidRPr="004D64A3" w:rsidRDefault="00F93C09" w:rsidP="004D64A3">
      <w:pPr>
        <w:spacing w:line="360" w:lineRule="auto"/>
        <w:ind w:firstLine="400"/>
        <w:rPr>
          <w:rFonts w:asciiTheme="minorBidi" w:hAnsiTheme="minorBidi" w:cstheme="minorBidi"/>
          <w:b/>
          <w:bCs/>
        </w:rPr>
      </w:pPr>
      <w:r w:rsidRPr="004D64A3">
        <w:rPr>
          <w:rFonts w:asciiTheme="minorBidi" w:hAnsiTheme="minorBidi" w:cstheme="minorBidi"/>
          <w:b/>
          <w:bCs/>
        </w:rPr>
        <w:t>1)</w:t>
      </w:r>
      <w:r w:rsidRPr="004D64A3">
        <w:rPr>
          <w:rFonts w:asciiTheme="minorBidi" w:hAnsiTheme="minorBidi" w:cstheme="minorBidi"/>
          <w:b/>
          <w:bCs/>
        </w:rPr>
        <w:tab/>
        <w:t>Selection of the Donor Cow</w:t>
      </w:r>
    </w:p>
    <w:p w:rsidR="004D64A3" w:rsidRPr="004D64A3" w:rsidRDefault="00F93C09" w:rsidP="005964C0">
      <w:pPr>
        <w:spacing w:after="152" w:line="360" w:lineRule="auto"/>
        <w:ind w:firstLine="380"/>
        <w:jc w:val="both"/>
        <w:rPr>
          <w:rFonts w:asciiTheme="minorBidi" w:eastAsia="Century Schoolbook" w:hAnsiTheme="minorBidi" w:cstheme="minorBidi"/>
        </w:rPr>
      </w:pPr>
      <w:r w:rsidRPr="004D64A3">
        <w:rPr>
          <w:rFonts w:asciiTheme="minorBidi" w:hAnsiTheme="minorBidi" w:cstheme="minorBidi"/>
        </w:rPr>
        <w:t xml:space="preserve">The first step is selecting a donor cow. Beef producers will differ in their opinions                  regarding the criteria for selecting a genetically outstanding cow. </w:t>
      </w:r>
      <w:r w:rsidR="004D64A3" w:rsidRPr="004D64A3">
        <w:rPr>
          <w:rFonts w:asciiTheme="minorBidi" w:eastAsia="Century Schoolbook" w:hAnsiTheme="minorBidi" w:cstheme="minorBidi"/>
          <w:color w:val="231F20"/>
        </w:rPr>
        <w:t>It has been suggested that prospective donor cows in embryo transfer programs be selected on the following criteria:</w:t>
      </w:r>
    </w:p>
    <w:p w:rsidR="004D64A3" w:rsidRPr="004D64A3" w:rsidRDefault="004D64A3" w:rsidP="004D64A3">
      <w:pPr>
        <w:numPr>
          <w:ilvl w:val="0"/>
          <w:numId w:val="1"/>
        </w:numPr>
        <w:tabs>
          <w:tab w:val="left" w:pos="592"/>
        </w:tabs>
        <w:spacing w:line="360" w:lineRule="auto"/>
        <w:rPr>
          <w:rFonts w:asciiTheme="minorBidi" w:eastAsia="Century Schoolbook" w:hAnsiTheme="minorBidi" w:cstheme="minorBidi"/>
        </w:rPr>
      </w:pPr>
      <w:r w:rsidRPr="004D64A3">
        <w:rPr>
          <w:rFonts w:asciiTheme="minorBidi" w:eastAsia="Century Schoolbook" w:hAnsiTheme="minorBidi" w:cstheme="minorBidi"/>
          <w:color w:val="231F20"/>
        </w:rPr>
        <w:t>Regular estrous cycles commencing at a young age</w:t>
      </w:r>
    </w:p>
    <w:p w:rsidR="004D64A3" w:rsidRPr="004D64A3" w:rsidRDefault="004D64A3" w:rsidP="004D64A3">
      <w:pPr>
        <w:numPr>
          <w:ilvl w:val="0"/>
          <w:numId w:val="1"/>
        </w:numPr>
        <w:tabs>
          <w:tab w:val="left" w:pos="592"/>
        </w:tabs>
        <w:spacing w:line="360" w:lineRule="auto"/>
        <w:rPr>
          <w:rFonts w:asciiTheme="minorBidi" w:eastAsia="Century Schoolbook" w:hAnsiTheme="minorBidi" w:cstheme="minorBidi"/>
        </w:rPr>
      </w:pPr>
      <w:r w:rsidRPr="004D64A3">
        <w:rPr>
          <w:rFonts w:asciiTheme="minorBidi" w:eastAsia="Century Schoolbook" w:hAnsiTheme="minorBidi" w:cstheme="minorBidi"/>
          <w:color w:val="231F20"/>
        </w:rPr>
        <w:t>A history of no more than two breeding per conception</w:t>
      </w:r>
    </w:p>
    <w:p w:rsidR="004D64A3" w:rsidRPr="004D64A3" w:rsidRDefault="004D64A3" w:rsidP="004D64A3">
      <w:pPr>
        <w:numPr>
          <w:ilvl w:val="0"/>
          <w:numId w:val="1"/>
        </w:numPr>
        <w:tabs>
          <w:tab w:val="left" w:pos="592"/>
        </w:tabs>
        <w:spacing w:line="360" w:lineRule="auto"/>
        <w:rPr>
          <w:rFonts w:asciiTheme="minorBidi" w:eastAsia="Century Schoolbook" w:hAnsiTheme="minorBidi" w:cstheme="minorBidi"/>
        </w:rPr>
      </w:pPr>
      <w:r w:rsidRPr="004D64A3">
        <w:rPr>
          <w:rFonts w:asciiTheme="minorBidi" w:eastAsia="Century Schoolbook" w:hAnsiTheme="minorBidi" w:cstheme="minorBidi"/>
          <w:color w:val="231F20"/>
        </w:rPr>
        <w:t>Previous calves with approximately 365-day intervals</w:t>
      </w:r>
    </w:p>
    <w:p w:rsidR="004D64A3" w:rsidRPr="004D64A3" w:rsidRDefault="004D64A3" w:rsidP="004D64A3">
      <w:pPr>
        <w:numPr>
          <w:ilvl w:val="0"/>
          <w:numId w:val="1"/>
        </w:numPr>
        <w:tabs>
          <w:tab w:val="left" w:pos="592"/>
        </w:tabs>
        <w:spacing w:line="360" w:lineRule="auto"/>
        <w:rPr>
          <w:rFonts w:asciiTheme="minorBidi" w:eastAsia="Century Schoolbook" w:hAnsiTheme="minorBidi" w:cstheme="minorBidi"/>
        </w:rPr>
      </w:pPr>
      <w:r w:rsidRPr="004D64A3">
        <w:rPr>
          <w:rFonts w:asciiTheme="minorBidi" w:eastAsia="Century Schoolbook" w:hAnsiTheme="minorBidi" w:cstheme="minorBidi"/>
          <w:color w:val="231F20"/>
        </w:rPr>
        <w:t>No parturition difficulties or reproductive irregularities</w:t>
      </w:r>
    </w:p>
    <w:p w:rsidR="004D64A3" w:rsidRPr="004D64A3" w:rsidRDefault="004D64A3" w:rsidP="004D64A3">
      <w:pPr>
        <w:numPr>
          <w:ilvl w:val="0"/>
          <w:numId w:val="1"/>
        </w:numPr>
        <w:tabs>
          <w:tab w:val="left" w:pos="592"/>
        </w:tabs>
        <w:spacing w:after="187" w:line="360" w:lineRule="auto"/>
        <w:rPr>
          <w:rFonts w:asciiTheme="minorBidi" w:eastAsia="Century Schoolbook" w:hAnsiTheme="minorBidi" w:cstheme="minorBidi"/>
        </w:rPr>
      </w:pPr>
      <w:r w:rsidRPr="004D64A3">
        <w:rPr>
          <w:rFonts w:asciiTheme="minorBidi" w:eastAsia="Century Schoolbook" w:hAnsiTheme="minorBidi" w:cstheme="minorBidi"/>
          <w:color w:val="231F20"/>
        </w:rPr>
        <w:t>No conformational or detectable genetic defects</w:t>
      </w:r>
    </w:p>
    <w:p w:rsidR="003D227F" w:rsidRDefault="004D64A3" w:rsidP="003D227F">
      <w:pPr>
        <w:spacing w:after="146" w:line="360" w:lineRule="auto"/>
        <w:ind w:firstLine="380"/>
      </w:pPr>
      <w:r w:rsidRPr="004D64A3">
        <w:rPr>
          <w:rFonts w:asciiTheme="minorBidi" w:eastAsia="Century Schoolbook" w:hAnsiTheme="minorBidi" w:cstheme="minorBidi"/>
          <w:color w:val="231F20"/>
        </w:rPr>
        <w:t xml:space="preserve">The cow should be maintained at a nutrition level appropriate for her size and level of milk production. Both the very obese cow and the thin cow will have reduced fertility, </w:t>
      </w:r>
      <w:r w:rsidRPr="004D64A3">
        <w:rPr>
          <w:rFonts w:asciiTheme="minorBidi" w:eastAsia="Century Schoolbook" w:hAnsiTheme="minorBidi" w:cstheme="minorBidi"/>
          <w:color w:val="231F20"/>
        </w:rPr>
        <w:lastRenderedPageBreak/>
        <w:t>so it is important that the donor be in an appropriate body condition score at the time of embryo transfer.</w:t>
      </w:r>
    </w:p>
    <w:p w:rsidR="003D227F" w:rsidRPr="003D227F" w:rsidRDefault="003D227F" w:rsidP="003D227F">
      <w:pPr>
        <w:spacing w:after="146" w:line="360" w:lineRule="auto"/>
        <w:ind w:firstLine="380"/>
        <w:rPr>
          <w:rFonts w:asciiTheme="minorBidi" w:eastAsia="Century Schoolbook" w:hAnsiTheme="minorBidi" w:cstheme="minorBidi"/>
          <w:b/>
          <w:bCs/>
        </w:rPr>
      </w:pPr>
      <w:r w:rsidRPr="003D227F">
        <w:rPr>
          <w:b/>
          <w:bCs/>
        </w:rPr>
        <w:t xml:space="preserve"> </w:t>
      </w:r>
      <w:r w:rsidRPr="003D227F">
        <w:rPr>
          <w:rFonts w:asciiTheme="minorBidi" w:eastAsia="Century Schoolbook" w:hAnsiTheme="minorBidi" w:cstheme="minorBidi"/>
          <w:b/>
          <w:bCs/>
        </w:rPr>
        <w:t>2)Superovulation of the Donor Cow</w:t>
      </w:r>
      <w:r w:rsidRPr="003D227F">
        <w:rPr>
          <w:rFonts w:asciiTheme="minorBidi" w:eastAsia="Century Schoolbook" w:hAnsiTheme="minorBidi" w:cstheme="minorBidi"/>
          <w:b/>
          <w:bCs/>
        </w:rPr>
        <w:t>.</w:t>
      </w:r>
    </w:p>
    <w:p w:rsidR="003D227F" w:rsidRDefault="003D227F" w:rsidP="003D227F">
      <w:pPr>
        <w:spacing w:after="146" w:line="360" w:lineRule="auto"/>
        <w:ind w:firstLine="380"/>
        <w:jc w:val="both"/>
        <w:rPr>
          <w:rFonts w:asciiTheme="minorBidi" w:eastAsia="Century Schoolbook" w:hAnsiTheme="minorBidi" w:cstheme="minorBidi"/>
        </w:rPr>
      </w:pPr>
      <w:r w:rsidRPr="003D227F">
        <w:rPr>
          <w:rFonts w:asciiTheme="minorBidi" w:eastAsia="Century Schoolbook" w:hAnsiTheme="minorBidi" w:cstheme="minorBidi"/>
        </w:rPr>
        <w:t>Superovulation of the donor cow is the next step in the embryo transfer process. Superovulation is the release of multiple eggs at a single estrus. Cows or heifers properly treated can release as many as ten or more viable eggs at one estrus. Approximately 85 percent of all normal fertile donors will respond to superovulation treatment with an average of five transferable embryos</w:t>
      </w:r>
      <w:r>
        <w:rPr>
          <w:rFonts w:asciiTheme="minorBidi" w:eastAsia="Century Schoolbook" w:hAnsiTheme="minorBidi" w:cstheme="minorBidi"/>
        </w:rPr>
        <w:t>.</w:t>
      </w:r>
      <w:r w:rsidRPr="003D227F">
        <w:t xml:space="preserve"> </w:t>
      </w:r>
      <w:r w:rsidRPr="003D227F">
        <w:rPr>
          <w:rFonts w:asciiTheme="minorBidi" w:eastAsia="Century Schoolbook" w:hAnsiTheme="minorBidi" w:cstheme="minorBidi"/>
        </w:rPr>
        <w:t xml:space="preserve">The basic principle of superovulation is to stimulate extensive follicular development through the use of follicle-stimulating hormone (FSH). Superovulation protocols may differ among embryo technicians, but generally, FSH preparations are injected twice daily for four days at the middle or near the end of a normal estrous cycle, while a functional corpus </w:t>
      </w:r>
      <w:proofErr w:type="spellStart"/>
      <w:r w:rsidRPr="003D227F">
        <w:rPr>
          <w:rFonts w:asciiTheme="minorBidi" w:eastAsia="Century Schoolbook" w:hAnsiTheme="minorBidi" w:cstheme="minorBidi"/>
        </w:rPr>
        <w:t>luteum</w:t>
      </w:r>
      <w:proofErr w:type="spellEnd"/>
      <w:r w:rsidRPr="003D227F">
        <w:rPr>
          <w:rFonts w:asciiTheme="minorBidi" w:eastAsia="Century Schoolbook" w:hAnsiTheme="minorBidi" w:cstheme="minorBidi"/>
        </w:rPr>
        <w:t xml:space="preserve"> (CL) is on the ovary. A prostaglandin injection given on the fourth day of the treatment schedule will cause CL regression and estrus to occur approximately 48 hours later.</w:t>
      </w:r>
    </w:p>
    <w:p w:rsidR="003D227F" w:rsidRPr="003D227F" w:rsidRDefault="003D227F" w:rsidP="003D227F">
      <w:pPr>
        <w:spacing w:after="146" w:line="360" w:lineRule="auto"/>
        <w:ind w:firstLine="380"/>
        <w:rPr>
          <w:rFonts w:asciiTheme="minorBidi" w:eastAsia="Century Schoolbook" w:hAnsiTheme="minorBidi" w:cstheme="minorBidi"/>
          <w:b/>
          <w:bCs/>
        </w:rPr>
      </w:pPr>
      <w:r w:rsidRPr="003D227F">
        <w:rPr>
          <w:rFonts w:asciiTheme="minorBidi" w:eastAsia="Century Schoolbook" w:hAnsiTheme="minorBidi" w:cstheme="minorBidi"/>
          <w:b/>
          <w:bCs/>
        </w:rPr>
        <w:t>3)</w:t>
      </w:r>
      <w:r w:rsidRPr="003D227F">
        <w:rPr>
          <w:rFonts w:asciiTheme="minorBidi" w:eastAsia="Century Schoolbook" w:hAnsiTheme="minorBidi" w:cstheme="minorBidi"/>
          <w:b/>
          <w:bCs/>
        </w:rPr>
        <w:tab/>
        <w:t>Insemination of the Cow</w:t>
      </w:r>
    </w:p>
    <w:p w:rsidR="003D227F" w:rsidRPr="003D227F" w:rsidRDefault="003D227F" w:rsidP="003D227F">
      <w:pPr>
        <w:spacing w:after="146" w:line="360" w:lineRule="auto"/>
        <w:ind w:firstLine="380"/>
        <w:jc w:val="both"/>
        <w:rPr>
          <w:rFonts w:asciiTheme="minorBidi" w:eastAsia="Century Schoolbook" w:hAnsiTheme="minorBidi" w:cstheme="minorBidi"/>
        </w:rPr>
      </w:pPr>
      <w:r w:rsidRPr="003D227F">
        <w:rPr>
          <w:rFonts w:asciiTheme="minorBidi" w:eastAsia="Century Schoolbook" w:hAnsiTheme="minorBidi" w:cstheme="minorBidi"/>
        </w:rPr>
        <w:t xml:space="preserve">Because of the release of many ova from multiple follicles, there is a greater need for viable sperm cells to reach the oviducts of the </w:t>
      </w:r>
      <w:proofErr w:type="spellStart"/>
      <w:r w:rsidRPr="003D227F">
        <w:rPr>
          <w:rFonts w:asciiTheme="minorBidi" w:eastAsia="Century Schoolbook" w:hAnsiTheme="minorBidi" w:cstheme="minorBidi"/>
        </w:rPr>
        <w:t>superovulated</w:t>
      </w:r>
      <w:proofErr w:type="spellEnd"/>
      <w:r w:rsidRPr="003D227F">
        <w:rPr>
          <w:rFonts w:asciiTheme="minorBidi" w:eastAsia="Century Schoolbook" w:hAnsiTheme="minorBidi" w:cstheme="minorBidi"/>
        </w:rPr>
        <w:t xml:space="preserve"> females. Therefore, many embryo transfer technicians will choose to inseminate the cow several times during and after estrus. One scheme is to inseminate the </w:t>
      </w:r>
      <w:proofErr w:type="spellStart"/>
      <w:r w:rsidRPr="003D227F">
        <w:rPr>
          <w:rFonts w:asciiTheme="minorBidi" w:eastAsia="Century Schoolbook" w:hAnsiTheme="minorBidi" w:cstheme="minorBidi"/>
        </w:rPr>
        <w:t>superovulated</w:t>
      </w:r>
      <w:proofErr w:type="spellEnd"/>
      <w:r w:rsidRPr="003D227F">
        <w:rPr>
          <w:rFonts w:asciiTheme="minorBidi" w:eastAsia="Century Schoolbook" w:hAnsiTheme="minorBidi" w:cstheme="minorBidi"/>
        </w:rPr>
        <w:t xml:space="preserve"> cow at 12, 24 and 36 hours after the onset of standing estrus. Using high-quality semen with a high percentage of normal, motile cells is a very critical step in any embryo transfer </w:t>
      </w:r>
      <w:proofErr w:type="spellStart"/>
      <w:r w:rsidRPr="003D227F">
        <w:rPr>
          <w:rFonts w:asciiTheme="minorBidi" w:eastAsia="Century Schoolbook" w:hAnsiTheme="minorBidi" w:cstheme="minorBidi"/>
        </w:rPr>
        <w:t>program.The</w:t>
      </w:r>
      <w:proofErr w:type="spellEnd"/>
      <w:r w:rsidRPr="003D227F">
        <w:rPr>
          <w:rFonts w:asciiTheme="minorBidi" w:eastAsia="Century Schoolbook" w:hAnsiTheme="minorBidi" w:cstheme="minorBidi"/>
        </w:rPr>
        <w:t xml:space="preserve"> correct site for semen placement is in the body of the uterus. This is a small target (1/2 to 1 inch) just in front of the cervix.</w:t>
      </w:r>
    </w:p>
    <w:p w:rsidR="003D227F" w:rsidRPr="003D227F" w:rsidRDefault="003D227F" w:rsidP="003D227F">
      <w:pPr>
        <w:spacing w:after="146" w:line="360" w:lineRule="auto"/>
        <w:ind w:firstLine="380"/>
        <w:rPr>
          <w:rFonts w:asciiTheme="minorBidi" w:eastAsia="Century Schoolbook" w:hAnsiTheme="minorBidi" w:cstheme="minorBidi"/>
          <w:b/>
          <w:bCs/>
        </w:rPr>
      </w:pPr>
      <w:r w:rsidRPr="003D227F">
        <w:rPr>
          <w:rFonts w:asciiTheme="minorBidi" w:eastAsia="Century Schoolbook" w:hAnsiTheme="minorBidi" w:cstheme="minorBidi"/>
          <w:b/>
          <w:bCs/>
        </w:rPr>
        <w:t>4)</w:t>
      </w:r>
      <w:r w:rsidRPr="003D227F">
        <w:rPr>
          <w:rFonts w:asciiTheme="minorBidi" w:eastAsia="Century Schoolbook" w:hAnsiTheme="minorBidi" w:cstheme="minorBidi"/>
          <w:b/>
          <w:bCs/>
        </w:rPr>
        <w:tab/>
        <w:t>Flushing the Embryos</w:t>
      </w:r>
    </w:p>
    <w:p w:rsidR="003D227F" w:rsidRPr="004D64A3" w:rsidRDefault="003D227F" w:rsidP="003D227F">
      <w:pPr>
        <w:spacing w:after="146" w:line="360" w:lineRule="auto"/>
        <w:ind w:firstLine="380"/>
        <w:jc w:val="both"/>
        <w:rPr>
          <w:rFonts w:asciiTheme="minorBidi" w:eastAsia="Century Schoolbook" w:hAnsiTheme="minorBidi" w:cstheme="minorBidi"/>
        </w:rPr>
      </w:pPr>
      <w:r w:rsidRPr="003D227F">
        <w:rPr>
          <w:rFonts w:asciiTheme="minorBidi" w:eastAsia="Century Schoolbook" w:hAnsiTheme="minorBidi" w:cstheme="minorBidi"/>
        </w:rPr>
        <w:t xml:space="preserve">To collect the embryos </w:t>
      </w:r>
      <w:proofErr w:type="spellStart"/>
      <w:r w:rsidRPr="003D227F">
        <w:rPr>
          <w:rFonts w:asciiTheme="minorBidi" w:eastAsia="Century Schoolbook" w:hAnsiTheme="minorBidi" w:cstheme="minorBidi"/>
        </w:rPr>
        <w:t>nonsurgically</w:t>
      </w:r>
      <w:proofErr w:type="spellEnd"/>
      <w:r w:rsidRPr="003D227F">
        <w:rPr>
          <w:rFonts w:asciiTheme="minorBidi" w:eastAsia="Century Schoolbook" w:hAnsiTheme="minorBidi" w:cstheme="minorBidi"/>
        </w:rPr>
        <w:t xml:space="preserve">, a small synthetic rubber catheter is inserted through the cervix of the donor cow, and a special medium is flushed into and out of the uterus to collect the embryos seven days after estrus </w:t>
      </w:r>
      <w:r>
        <w:rPr>
          <w:rFonts w:asciiTheme="minorBidi" w:eastAsia="Century Schoolbook" w:hAnsiTheme="minorBidi" w:cstheme="minorBidi"/>
        </w:rPr>
        <w:t>.</w:t>
      </w:r>
      <w:r w:rsidRPr="003D227F">
        <w:rPr>
          <w:rFonts w:asciiTheme="minorBidi" w:eastAsia="Century Schoolbook" w:hAnsiTheme="minorBidi" w:cstheme="minorBidi"/>
        </w:rPr>
        <w:t>This collection procedure is relatively simple and can be completed in 30 minutes or less without harm to the cow.</w:t>
      </w:r>
    </w:p>
    <w:p w:rsidR="004D64A3" w:rsidRPr="004D64A3" w:rsidRDefault="004D64A3" w:rsidP="003D227F">
      <w:pPr>
        <w:spacing w:line="360" w:lineRule="auto"/>
        <w:ind w:firstLine="400"/>
        <w:jc w:val="both"/>
        <w:rPr>
          <w:rFonts w:asciiTheme="minorBidi" w:hAnsiTheme="minorBidi" w:cstheme="minorBidi"/>
        </w:rPr>
      </w:pPr>
    </w:p>
    <w:p w:rsidR="00F93C09" w:rsidRPr="00F93C09" w:rsidRDefault="003D227F" w:rsidP="00F93C09">
      <w:pPr>
        <w:spacing w:line="360" w:lineRule="auto"/>
        <w:ind w:firstLine="400"/>
        <w:rPr>
          <w:rFonts w:asciiTheme="minorBidi" w:hAnsiTheme="minorBidi" w:cstheme="minorBidi"/>
        </w:rPr>
      </w:pPr>
      <w:r>
        <w:rPr>
          <w:noProof/>
          <w:lang w:bidi="ar-SA"/>
        </w:rPr>
        <w:lastRenderedPageBreak/>
        <w:drawing>
          <wp:anchor distT="0" distB="0" distL="114300" distR="114300" simplePos="0" relativeHeight="251658240" behindDoc="0" locked="0" layoutInCell="1" allowOverlap="1" wp14:anchorId="22A3AB35" wp14:editId="7BEBCB5E">
            <wp:simplePos x="0" y="0"/>
            <wp:positionH relativeFrom="column">
              <wp:posOffset>1114425</wp:posOffset>
            </wp:positionH>
            <wp:positionV relativeFrom="paragraph">
              <wp:posOffset>-64770</wp:posOffset>
            </wp:positionV>
            <wp:extent cx="3171825" cy="2095500"/>
            <wp:effectExtent l="0" t="0" r="9525" b="0"/>
            <wp:wrapSquare wrapText="bothSides"/>
            <wp:docPr id="1" name="Picture 1" descr="C:\Users\pc\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2095500"/>
                    </a:xfrm>
                    <a:prstGeom prst="rect">
                      <a:avLst/>
                    </a:prstGeom>
                    <a:noFill/>
                    <a:ln>
                      <a:noFill/>
                    </a:ln>
                  </pic:spPr>
                </pic:pic>
              </a:graphicData>
            </a:graphic>
          </wp:anchor>
        </w:drawing>
      </w:r>
      <w:r w:rsidR="00F93C09">
        <w:rPr>
          <w:rFonts w:asciiTheme="minorBidi" w:hAnsiTheme="minorBidi" w:cstheme="minorBidi"/>
        </w:rPr>
        <w:t xml:space="preserve">  </w:t>
      </w:r>
    </w:p>
    <w:p w:rsidR="00F93C09" w:rsidRPr="00F93C09" w:rsidRDefault="00F93C09" w:rsidP="00F93C09">
      <w:pPr>
        <w:spacing w:line="360" w:lineRule="auto"/>
        <w:ind w:firstLine="400"/>
        <w:jc w:val="both"/>
        <w:rPr>
          <w:rFonts w:asciiTheme="minorBidi" w:hAnsiTheme="minorBidi" w:cstheme="minorBidi"/>
        </w:rPr>
      </w:pPr>
    </w:p>
    <w:p w:rsidR="00F93C09" w:rsidRPr="00F93C09" w:rsidRDefault="003D227F" w:rsidP="00F93C09">
      <w:pPr>
        <w:spacing w:line="360" w:lineRule="auto"/>
        <w:ind w:firstLine="400"/>
        <w:rPr>
          <w:rFonts w:asciiTheme="minorBidi" w:hAnsiTheme="minorBidi" w:cstheme="minorBidi"/>
        </w:rPr>
      </w:pPr>
      <w:r>
        <w:rPr>
          <w:rFonts w:asciiTheme="minorBidi" w:hAnsiTheme="minorBidi" w:cstheme="minorBidi"/>
        </w:rPr>
        <w:br w:type="textWrapping" w:clear="all"/>
      </w:r>
    </w:p>
    <w:p w:rsidR="00F93C09" w:rsidRPr="00F93C09" w:rsidRDefault="00F93C09" w:rsidP="00F93C09">
      <w:pPr>
        <w:spacing w:line="360" w:lineRule="auto"/>
        <w:rPr>
          <w:rFonts w:asciiTheme="minorBidi" w:hAnsiTheme="minorBidi" w:cstheme="minorBidi"/>
        </w:rPr>
      </w:pPr>
    </w:p>
    <w:p w:rsidR="00F93C09" w:rsidRPr="00F93C09" w:rsidRDefault="00F93C09" w:rsidP="00F93C09">
      <w:pPr>
        <w:spacing w:line="360" w:lineRule="auto"/>
        <w:rPr>
          <w:rFonts w:asciiTheme="minorBidi" w:hAnsiTheme="minorBidi" w:cstheme="minorBidi"/>
        </w:rPr>
      </w:pPr>
    </w:p>
    <w:p w:rsidR="00A0346D" w:rsidRPr="00A0346D" w:rsidRDefault="00A0346D" w:rsidP="00A0346D">
      <w:pPr>
        <w:spacing w:line="360" w:lineRule="auto"/>
        <w:rPr>
          <w:rFonts w:asciiTheme="minorBidi" w:hAnsiTheme="minorBidi" w:cstheme="minorBidi"/>
          <w:b/>
          <w:bCs/>
        </w:rPr>
      </w:pPr>
      <w:r w:rsidRPr="00A0346D">
        <w:rPr>
          <w:rFonts w:asciiTheme="minorBidi" w:hAnsiTheme="minorBidi" w:cstheme="minorBidi"/>
          <w:b/>
          <w:bCs/>
        </w:rPr>
        <w:t>5)Evaluation of the Embryos</w:t>
      </w:r>
    </w:p>
    <w:p w:rsidR="00A0346D" w:rsidRPr="00A0346D" w:rsidRDefault="00A0346D" w:rsidP="00A0346D">
      <w:pPr>
        <w:spacing w:line="360" w:lineRule="auto"/>
        <w:jc w:val="both"/>
        <w:rPr>
          <w:rFonts w:asciiTheme="minorBidi" w:hAnsiTheme="minorBidi" w:cstheme="minorBidi"/>
        </w:rPr>
      </w:pPr>
      <w:r w:rsidRPr="00A0346D">
        <w:rPr>
          <w:rFonts w:asciiTheme="minorBidi" w:hAnsiTheme="minorBidi" w:cstheme="minorBidi"/>
        </w:rPr>
        <w:t>As the individual embryos are located using a microscope, they are evaluated for their quality and classified numerically as to the potential likelihood of success if transferred to a recipient female.</w:t>
      </w:r>
      <w:r w:rsidRPr="00A0346D">
        <w:t xml:space="preserve"> </w:t>
      </w:r>
      <w:r w:rsidRPr="00A0346D">
        <w:rPr>
          <w:rFonts w:asciiTheme="minorBidi" w:hAnsiTheme="minorBidi" w:cstheme="minorBidi"/>
        </w:rPr>
        <w:t>Embryos are classified according to these subjective criteria as:</w:t>
      </w:r>
    </w:p>
    <w:p w:rsidR="00A0346D" w:rsidRPr="00A0346D" w:rsidRDefault="00A0346D" w:rsidP="00A0346D">
      <w:pPr>
        <w:spacing w:line="360" w:lineRule="auto"/>
        <w:jc w:val="both"/>
        <w:rPr>
          <w:rFonts w:asciiTheme="minorBidi" w:hAnsiTheme="minorBidi" w:cstheme="minorBidi"/>
        </w:rPr>
      </w:pPr>
      <w:r w:rsidRPr="00A0346D">
        <w:rPr>
          <w:rFonts w:asciiTheme="minorBidi" w:hAnsiTheme="minorBidi" w:cstheme="minorBidi"/>
        </w:rPr>
        <w:t>Grade 1: Excellent or good Grade 2: Fair Grade 3: Poor</w:t>
      </w:r>
      <w:r>
        <w:rPr>
          <w:rFonts w:asciiTheme="minorBidi" w:hAnsiTheme="minorBidi" w:cstheme="minorBidi"/>
        </w:rPr>
        <w:t xml:space="preserve"> </w:t>
      </w:r>
      <w:r w:rsidRPr="00A0346D">
        <w:rPr>
          <w:rFonts w:asciiTheme="minorBidi" w:hAnsiTheme="minorBidi" w:cstheme="minorBidi"/>
        </w:rPr>
        <w:t>Grade 4: Dead or degenerating</w:t>
      </w:r>
    </w:p>
    <w:p w:rsidR="00A0346D" w:rsidRDefault="00A0346D" w:rsidP="00A0346D">
      <w:pPr>
        <w:spacing w:line="360" w:lineRule="auto"/>
      </w:pPr>
    </w:p>
    <w:p w:rsidR="00A0346D" w:rsidRPr="00A0346D" w:rsidRDefault="00A0346D" w:rsidP="00A0346D">
      <w:pPr>
        <w:spacing w:line="360" w:lineRule="auto"/>
        <w:rPr>
          <w:rFonts w:asciiTheme="minorBidi" w:hAnsiTheme="minorBidi" w:cstheme="minorBidi"/>
          <w:b/>
          <w:bCs/>
        </w:rPr>
      </w:pPr>
      <w:r w:rsidRPr="00A0346D">
        <w:rPr>
          <w:rFonts w:asciiTheme="minorBidi" w:hAnsiTheme="minorBidi" w:cstheme="minorBidi"/>
          <w:b/>
          <w:bCs/>
        </w:rPr>
        <w:t>6)Selection and Preparation of Recipient Females</w:t>
      </w:r>
    </w:p>
    <w:p w:rsidR="00A0346D" w:rsidRDefault="00A0346D" w:rsidP="00A0346D">
      <w:pPr>
        <w:spacing w:line="360" w:lineRule="auto"/>
        <w:jc w:val="both"/>
        <w:rPr>
          <w:rFonts w:asciiTheme="minorBidi" w:hAnsiTheme="minorBidi" w:cstheme="minorBidi"/>
        </w:rPr>
      </w:pPr>
      <w:r w:rsidRPr="00A0346D">
        <w:rPr>
          <w:rFonts w:asciiTheme="minorBidi" w:hAnsiTheme="minorBidi" w:cstheme="minorBidi"/>
        </w:rPr>
        <w:t>Proper recipient herd management is critical to embryo transfer success. Cows that are reproductively sound, that exhibit calving ease and that have good milking and mothering ability are recipient prospects.</w:t>
      </w:r>
    </w:p>
    <w:p w:rsidR="009A493F" w:rsidRDefault="00A0346D" w:rsidP="009A493F">
      <w:pPr>
        <w:spacing w:line="360" w:lineRule="auto"/>
        <w:jc w:val="both"/>
      </w:pPr>
      <w:r w:rsidRPr="00A0346D">
        <w:rPr>
          <w:rFonts w:asciiTheme="minorBidi" w:hAnsiTheme="minorBidi" w:cstheme="minorBidi"/>
        </w:rPr>
        <w:t xml:space="preserve"> They must be on a proper plane of nutrition (body condition score 6 for beef cows and dairy body condition score 3 to 4). These cows also must be on a sound herd health program.</w:t>
      </w:r>
      <w:r w:rsidRPr="00A0346D">
        <w:rPr>
          <w:rFonts w:ascii="Century Schoolbook" w:eastAsia="Century Schoolbook" w:hAnsi="Century Schoolbook" w:cs="Century Schoolbook"/>
          <w:color w:val="231F20"/>
          <w:sz w:val="20"/>
          <w:szCs w:val="20"/>
        </w:rPr>
        <w:t xml:space="preserve"> </w:t>
      </w:r>
      <w:r w:rsidRPr="00A0346D">
        <w:rPr>
          <w:rFonts w:asciiTheme="minorBidi" w:hAnsiTheme="minorBidi" w:cstheme="minorBidi"/>
        </w:rPr>
        <w:t>To maximize embryo survival in the recipient female following transfer, conditions in the recipient reproductive tract should closely resemble those in the donor. This requires synchronization of the estrous cycles between the donor and the recipients, optimally within one day of each other. Synchroniza</w:t>
      </w:r>
      <w:r w:rsidRPr="00A0346D">
        <w:rPr>
          <w:rFonts w:asciiTheme="minorBidi" w:hAnsiTheme="minorBidi" w:cstheme="minorBidi"/>
        </w:rPr>
        <w:softHyphen/>
        <w:t>tion of the recipients can be done in a similar manner and at the same working time as the donor cows. There are a number of different estrous synchroniza</w:t>
      </w:r>
      <w:r w:rsidRPr="00A0346D">
        <w:rPr>
          <w:rFonts w:asciiTheme="minorBidi" w:hAnsiTheme="minorBidi" w:cstheme="minorBidi"/>
        </w:rPr>
        <w:softHyphen/>
        <w:t xml:space="preserve">tion protocols with advantages and disadvantages for each protocol. The critical point regarding recipient cow estrous synchronization is the timing must match the time of insemination of the donor cow so that the donor and the recipients have a similar uterine environment seven days later </w:t>
      </w:r>
      <w:r w:rsidRPr="00A0346D">
        <w:rPr>
          <w:rFonts w:asciiTheme="minorBidi" w:hAnsiTheme="minorBidi" w:cstheme="minorBidi"/>
        </w:rPr>
        <w:lastRenderedPageBreak/>
        <w:t>when the transfer takes place.</w:t>
      </w:r>
    </w:p>
    <w:p w:rsidR="009A493F" w:rsidRDefault="009A493F" w:rsidP="009A493F">
      <w:pPr>
        <w:spacing w:line="360" w:lineRule="auto"/>
        <w:jc w:val="both"/>
      </w:pPr>
      <w:r w:rsidRPr="009A493F">
        <w:t xml:space="preserve"> </w:t>
      </w:r>
    </w:p>
    <w:p w:rsidR="009A493F" w:rsidRPr="009A493F" w:rsidRDefault="009A493F" w:rsidP="009A493F">
      <w:pPr>
        <w:spacing w:line="360" w:lineRule="auto"/>
        <w:jc w:val="both"/>
        <w:rPr>
          <w:rFonts w:asciiTheme="minorBidi" w:hAnsiTheme="minorBidi" w:cstheme="minorBidi"/>
          <w:b/>
          <w:bCs/>
        </w:rPr>
      </w:pPr>
      <w:r w:rsidRPr="009A493F">
        <w:rPr>
          <w:rFonts w:asciiTheme="minorBidi" w:hAnsiTheme="minorBidi" w:cstheme="minorBidi"/>
          <w:b/>
          <w:bCs/>
        </w:rPr>
        <w:t>7)Transfer of the Embryos</w:t>
      </w:r>
    </w:p>
    <w:p w:rsidR="009A493F" w:rsidRDefault="009A493F" w:rsidP="009A493F">
      <w:pPr>
        <w:spacing w:line="360" w:lineRule="auto"/>
        <w:jc w:val="both"/>
        <w:rPr>
          <w:rFonts w:asciiTheme="minorBidi" w:hAnsiTheme="minorBidi" w:cstheme="minorBidi"/>
        </w:rPr>
      </w:pPr>
      <w:r w:rsidRPr="009A493F">
        <w:rPr>
          <w:rFonts w:asciiTheme="minorBidi" w:hAnsiTheme="minorBidi" w:cstheme="minorBidi"/>
        </w:rPr>
        <w:t xml:space="preserve">The transfer of the embryo into the recipient cow first requires “loading” the embryo into a 1/4-mL insemination straw. This is done under microscopic viewing with the aid of a 1-mL syringe and requires considerable practice, patience and dexterity. Degenerated embryos or embryos of very low grade need not be loaded and can be discarded. Just prior to embryo transfer, the ovaries of the recipient are palpated rec-tally to determine which ovary has ovulated. With the aid of an assistant to hold open the vulva of the recipient cow, the transfer gun or insemination rod is carefully passed through the cervix. The tip of the rod is then allowed to slide into the horn on the same side of the ovary with an active corpus </w:t>
      </w:r>
      <w:proofErr w:type="spellStart"/>
      <w:r w:rsidRPr="009A493F">
        <w:rPr>
          <w:rFonts w:asciiTheme="minorBidi" w:hAnsiTheme="minorBidi" w:cstheme="minorBidi"/>
        </w:rPr>
        <w:t>luteum</w:t>
      </w:r>
      <w:proofErr w:type="spellEnd"/>
      <w:r w:rsidRPr="009A493F">
        <w:rPr>
          <w:rFonts w:asciiTheme="minorBidi" w:hAnsiTheme="minorBidi" w:cstheme="minorBidi"/>
        </w:rPr>
        <w:t>.</w:t>
      </w:r>
    </w:p>
    <w:p w:rsidR="009A493F" w:rsidRDefault="009A493F" w:rsidP="009A493F">
      <w:pPr>
        <w:spacing w:line="360" w:lineRule="auto"/>
        <w:jc w:val="both"/>
        <w:rPr>
          <w:rFonts w:asciiTheme="minorBidi" w:hAnsiTheme="minorBidi" w:cstheme="minorBidi"/>
        </w:rPr>
      </w:pPr>
    </w:p>
    <w:p w:rsidR="009A493F" w:rsidRPr="009A493F" w:rsidRDefault="009A493F" w:rsidP="009A493F">
      <w:pPr>
        <w:spacing w:line="360" w:lineRule="auto"/>
        <w:jc w:val="both"/>
        <w:rPr>
          <w:rFonts w:asciiTheme="minorBidi" w:hAnsiTheme="minorBidi" w:cstheme="minorBidi"/>
          <w:b/>
          <w:bCs/>
        </w:rPr>
      </w:pPr>
      <w:r w:rsidRPr="009A493F">
        <w:rPr>
          <w:rFonts w:asciiTheme="minorBidi" w:hAnsiTheme="minorBidi" w:cstheme="minorBidi"/>
          <w:b/>
          <w:bCs/>
        </w:rPr>
        <w:t>8)Expected Embryo Transplant Results</w:t>
      </w:r>
    </w:p>
    <w:p w:rsidR="009A493F" w:rsidRPr="009A493F" w:rsidRDefault="009A493F" w:rsidP="009A493F">
      <w:pPr>
        <w:spacing w:line="360" w:lineRule="auto"/>
        <w:jc w:val="both"/>
        <w:rPr>
          <w:rFonts w:asciiTheme="minorBidi" w:hAnsiTheme="minorBidi" w:cstheme="minorBidi"/>
        </w:rPr>
      </w:pPr>
      <w:r w:rsidRPr="009A493F">
        <w:rPr>
          <w:rFonts w:asciiTheme="minorBidi" w:hAnsiTheme="minorBidi" w:cstheme="minorBidi"/>
        </w:rPr>
        <w:t>Embryo production varies greatly from donor to donor and flush to flush. Average production is approximately six freezable (excellent and good) and eight transferable (excellent, good, fair and poor) embryos per superovulation.</w:t>
      </w:r>
    </w:p>
    <w:p w:rsidR="00A0346D" w:rsidRDefault="009A493F" w:rsidP="009A493F">
      <w:pPr>
        <w:spacing w:line="360" w:lineRule="auto"/>
        <w:jc w:val="both"/>
        <w:rPr>
          <w:rFonts w:asciiTheme="minorBidi" w:hAnsiTheme="minorBidi" w:cstheme="minorBidi"/>
        </w:rPr>
      </w:pPr>
      <w:r w:rsidRPr="009A493F">
        <w:rPr>
          <w:rFonts w:asciiTheme="minorBidi" w:hAnsiTheme="minorBidi" w:cstheme="minorBidi"/>
        </w:rPr>
        <w:t>Pregnancy rates vary from flush to flush with fresh averages 60 to 70 percent and frozen 50 to 60 percent. Many factors affect pregnancy rates such as embryo quality, recipients, technical ability and donor. Some donors consistently produce embryos with higher pregnancy rates than others with embryos of similar grade. This last factor seems to be uncontrollable and unpredictable.</w:t>
      </w:r>
    </w:p>
    <w:p w:rsidR="00A0346D" w:rsidRPr="00A0346D" w:rsidRDefault="00A0346D" w:rsidP="00A0346D">
      <w:pPr>
        <w:spacing w:line="360" w:lineRule="auto"/>
        <w:jc w:val="both"/>
        <w:rPr>
          <w:rFonts w:asciiTheme="minorBidi" w:hAnsiTheme="minorBidi" w:cstheme="minorBidi"/>
        </w:rPr>
        <w:sectPr w:rsidR="00A0346D" w:rsidRPr="00A0346D" w:rsidSect="00F93C09">
          <w:pgSz w:w="12240" w:h="15840"/>
          <w:pgMar w:top="1418" w:right="1134" w:bottom="1418" w:left="1701" w:header="0" w:footer="6" w:gutter="0"/>
          <w:cols w:space="720"/>
          <w:noEndnote/>
          <w:docGrid w:linePitch="360"/>
        </w:sectPr>
      </w:pPr>
    </w:p>
    <w:p w:rsidR="00F93C09" w:rsidRDefault="00F93C09" w:rsidP="004D64A3">
      <w:pPr>
        <w:spacing w:line="240" w:lineRule="exact"/>
        <w:rPr>
          <w:sz w:val="19"/>
          <w:szCs w:val="19"/>
        </w:rPr>
      </w:pPr>
      <w:bookmarkStart w:id="3" w:name="_GoBack"/>
      <w:bookmarkEnd w:id="3"/>
    </w:p>
    <w:sectPr w:rsidR="00F93C09" w:rsidSect="00C62644">
      <w:pgSz w:w="11906" w:h="16838"/>
      <w:pgMar w:top="1418" w:right="1134" w:bottom="1418" w:left="226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BD" w:rsidRDefault="008A4BBD" w:rsidP="00F93C09">
      <w:r>
        <w:separator/>
      </w:r>
    </w:p>
  </w:endnote>
  <w:endnote w:type="continuationSeparator" w:id="0">
    <w:p w:rsidR="008A4BBD" w:rsidRDefault="008A4BBD" w:rsidP="00F9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BD" w:rsidRDefault="008A4BBD" w:rsidP="00F93C09">
      <w:r>
        <w:separator/>
      </w:r>
    </w:p>
  </w:footnote>
  <w:footnote w:type="continuationSeparator" w:id="0">
    <w:p w:rsidR="008A4BBD" w:rsidRDefault="008A4BBD" w:rsidP="00F93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BA0"/>
    <w:multiLevelType w:val="multilevel"/>
    <w:tmpl w:val="3110A6B6"/>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09"/>
    <w:rsid w:val="002B64F2"/>
    <w:rsid w:val="003D227F"/>
    <w:rsid w:val="004D64A3"/>
    <w:rsid w:val="005964C0"/>
    <w:rsid w:val="008A4BBD"/>
    <w:rsid w:val="009A493F"/>
    <w:rsid w:val="00A0346D"/>
    <w:rsid w:val="00BB08E5"/>
    <w:rsid w:val="00C62644"/>
    <w:rsid w:val="00D46714"/>
    <w:rsid w:val="00F93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3C09"/>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العنوان #2_"/>
    <w:basedOn w:val="DefaultParagraphFont"/>
    <w:rsid w:val="00F93C09"/>
    <w:rPr>
      <w:rFonts w:ascii="Times New Roman" w:eastAsia="Times New Roman" w:hAnsi="Times New Roman" w:cs="Times New Roman"/>
      <w:b/>
      <w:bCs/>
      <w:i w:val="0"/>
      <w:iCs w:val="0"/>
      <w:smallCaps w:val="0"/>
      <w:strike w:val="0"/>
      <w:sz w:val="68"/>
      <w:szCs w:val="68"/>
      <w:u w:val="none"/>
    </w:rPr>
  </w:style>
  <w:style w:type="character" w:customStyle="1" w:styleId="20">
    <w:name w:val="العنوان #2"/>
    <w:basedOn w:val="2"/>
    <w:rsid w:val="00F93C09"/>
    <w:rPr>
      <w:rFonts w:ascii="Times New Roman" w:eastAsia="Times New Roman" w:hAnsi="Times New Roman" w:cs="Times New Roman"/>
      <w:b/>
      <w:bCs/>
      <w:i w:val="0"/>
      <w:iCs w:val="0"/>
      <w:smallCaps w:val="0"/>
      <w:strike w:val="0"/>
      <w:color w:val="231F20"/>
      <w:spacing w:val="0"/>
      <w:w w:val="100"/>
      <w:position w:val="0"/>
      <w:sz w:val="68"/>
      <w:szCs w:val="68"/>
      <w:u w:val="none"/>
      <w:lang w:val="en-US" w:eastAsia="en-US" w:bidi="en-US"/>
    </w:rPr>
  </w:style>
  <w:style w:type="paragraph" w:styleId="Header">
    <w:name w:val="header"/>
    <w:basedOn w:val="Normal"/>
    <w:link w:val="HeaderChar"/>
    <w:uiPriority w:val="99"/>
    <w:unhideWhenUsed/>
    <w:rsid w:val="00F93C09"/>
    <w:pPr>
      <w:tabs>
        <w:tab w:val="center" w:pos="4153"/>
        <w:tab w:val="right" w:pos="8306"/>
      </w:tabs>
    </w:pPr>
  </w:style>
  <w:style w:type="character" w:customStyle="1" w:styleId="HeaderChar">
    <w:name w:val="Header Char"/>
    <w:basedOn w:val="DefaultParagraphFont"/>
    <w:link w:val="Header"/>
    <w:uiPriority w:val="99"/>
    <w:rsid w:val="00F93C09"/>
    <w:rPr>
      <w:rFonts w:ascii="Courier New" w:eastAsia="Courier New" w:hAnsi="Courier New" w:cs="Courier New"/>
      <w:color w:val="000000"/>
      <w:sz w:val="24"/>
      <w:szCs w:val="24"/>
      <w:lang w:bidi="en-US"/>
    </w:rPr>
  </w:style>
  <w:style w:type="paragraph" w:styleId="Footer">
    <w:name w:val="footer"/>
    <w:basedOn w:val="Normal"/>
    <w:link w:val="FooterChar"/>
    <w:uiPriority w:val="99"/>
    <w:unhideWhenUsed/>
    <w:rsid w:val="00F93C09"/>
    <w:pPr>
      <w:tabs>
        <w:tab w:val="center" w:pos="4153"/>
        <w:tab w:val="right" w:pos="8306"/>
      </w:tabs>
    </w:pPr>
  </w:style>
  <w:style w:type="character" w:customStyle="1" w:styleId="FooterChar">
    <w:name w:val="Footer Char"/>
    <w:basedOn w:val="DefaultParagraphFont"/>
    <w:link w:val="Footer"/>
    <w:uiPriority w:val="99"/>
    <w:rsid w:val="00F93C09"/>
    <w:rPr>
      <w:rFonts w:ascii="Courier New" w:eastAsia="Courier New" w:hAnsi="Courier New" w:cs="Courier New"/>
      <w:color w:val="000000"/>
      <w:sz w:val="24"/>
      <w:szCs w:val="24"/>
      <w:lang w:bidi="en-US"/>
    </w:rPr>
  </w:style>
  <w:style w:type="character" w:customStyle="1" w:styleId="3">
    <w:name w:val="العنوان #3_"/>
    <w:basedOn w:val="DefaultParagraphFont"/>
    <w:rsid w:val="00F93C09"/>
    <w:rPr>
      <w:rFonts w:ascii="Century Schoolbook" w:eastAsia="Century Schoolbook" w:hAnsi="Century Schoolbook" w:cs="Century Schoolbook"/>
      <w:b/>
      <w:bCs/>
      <w:i w:val="0"/>
      <w:iCs w:val="0"/>
      <w:smallCaps w:val="0"/>
      <w:strike w:val="0"/>
      <w:sz w:val="24"/>
      <w:szCs w:val="24"/>
      <w:u w:val="none"/>
    </w:rPr>
  </w:style>
  <w:style w:type="character" w:customStyle="1" w:styleId="30">
    <w:name w:val="العنوان #3"/>
    <w:basedOn w:val="3"/>
    <w:rsid w:val="00F93C09"/>
    <w:rPr>
      <w:rFonts w:ascii="Century Schoolbook" w:eastAsia="Century Schoolbook" w:hAnsi="Century Schoolbook" w:cs="Century Schoolbook"/>
      <w:b/>
      <w:bCs/>
      <w:i w:val="0"/>
      <w:iCs w:val="0"/>
      <w:smallCaps w:val="0"/>
      <w:strike w:val="0"/>
      <w:color w:val="231F20"/>
      <w:spacing w:val="0"/>
      <w:w w:val="100"/>
      <w:position w:val="0"/>
      <w:sz w:val="24"/>
      <w:szCs w:val="24"/>
      <w:u w:val="none"/>
      <w:lang w:val="en-US" w:eastAsia="en-US" w:bidi="en-US"/>
    </w:rPr>
  </w:style>
  <w:style w:type="character" w:customStyle="1" w:styleId="21">
    <w:name w:val="نص المتن (2)_"/>
    <w:basedOn w:val="DefaultParagraphFont"/>
    <w:rsid w:val="00F93C09"/>
    <w:rPr>
      <w:rFonts w:ascii="Century Schoolbook" w:eastAsia="Century Schoolbook" w:hAnsi="Century Schoolbook" w:cs="Century Schoolbook"/>
      <w:b w:val="0"/>
      <w:bCs w:val="0"/>
      <w:i w:val="0"/>
      <w:iCs w:val="0"/>
      <w:smallCaps w:val="0"/>
      <w:strike w:val="0"/>
      <w:sz w:val="20"/>
      <w:szCs w:val="20"/>
      <w:u w:val="none"/>
    </w:rPr>
  </w:style>
  <w:style w:type="character" w:customStyle="1" w:styleId="22">
    <w:name w:val="نص المتن (2)"/>
    <w:basedOn w:val="21"/>
    <w:rsid w:val="00F93C09"/>
    <w:rPr>
      <w:rFonts w:ascii="Century Schoolbook" w:eastAsia="Century Schoolbook" w:hAnsi="Century Schoolbook" w:cs="Century Schoolbook"/>
      <w:b w:val="0"/>
      <w:bCs w:val="0"/>
      <w:i w:val="0"/>
      <w:iCs w:val="0"/>
      <w:smallCaps w:val="0"/>
      <w:strike w:val="0"/>
      <w:color w:val="231F20"/>
      <w:spacing w:val="0"/>
      <w:w w:val="100"/>
      <w:position w:val="0"/>
      <w:sz w:val="20"/>
      <w:szCs w:val="20"/>
      <w:u w:val="none"/>
      <w:lang w:val="en-US" w:eastAsia="en-US" w:bidi="en-US"/>
    </w:rPr>
  </w:style>
  <w:style w:type="character" w:customStyle="1" w:styleId="23">
    <w:name w:val="نص المتن (2) + مائل"/>
    <w:basedOn w:val="21"/>
    <w:rsid w:val="00F93C09"/>
    <w:rPr>
      <w:rFonts w:ascii="Century Schoolbook" w:eastAsia="Century Schoolbook" w:hAnsi="Century Schoolbook" w:cs="Century Schoolbook"/>
      <w:b w:val="0"/>
      <w:bCs w:val="0"/>
      <w:i/>
      <w:iCs/>
      <w:smallCaps w:val="0"/>
      <w:strike w:val="0"/>
      <w:color w:val="231F20"/>
      <w:spacing w:val="0"/>
      <w:w w:val="100"/>
      <w:position w:val="0"/>
      <w:sz w:val="20"/>
      <w:szCs w:val="20"/>
      <w:u w:val="none"/>
      <w:lang w:val="en-US" w:eastAsia="en-US" w:bidi="en-US"/>
    </w:rPr>
  </w:style>
  <w:style w:type="paragraph" w:styleId="BalloonText">
    <w:name w:val="Balloon Text"/>
    <w:basedOn w:val="Normal"/>
    <w:link w:val="BalloonTextChar"/>
    <w:uiPriority w:val="99"/>
    <w:semiHidden/>
    <w:unhideWhenUsed/>
    <w:rsid w:val="003D227F"/>
    <w:rPr>
      <w:rFonts w:ascii="Tahoma" w:hAnsi="Tahoma" w:cs="Tahoma"/>
      <w:sz w:val="16"/>
      <w:szCs w:val="16"/>
    </w:rPr>
  </w:style>
  <w:style w:type="character" w:customStyle="1" w:styleId="BalloonTextChar">
    <w:name w:val="Balloon Text Char"/>
    <w:basedOn w:val="DefaultParagraphFont"/>
    <w:link w:val="BalloonText"/>
    <w:uiPriority w:val="99"/>
    <w:semiHidden/>
    <w:rsid w:val="003D227F"/>
    <w:rPr>
      <w:rFonts w:ascii="Tahoma" w:eastAsia="Courier New" w:hAnsi="Tahoma" w:cs="Tahoma"/>
      <w:color w:val="00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3C09"/>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العنوان #2_"/>
    <w:basedOn w:val="DefaultParagraphFont"/>
    <w:rsid w:val="00F93C09"/>
    <w:rPr>
      <w:rFonts w:ascii="Times New Roman" w:eastAsia="Times New Roman" w:hAnsi="Times New Roman" w:cs="Times New Roman"/>
      <w:b/>
      <w:bCs/>
      <w:i w:val="0"/>
      <w:iCs w:val="0"/>
      <w:smallCaps w:val="0"/>
      <w:strike w:val="0"/>
      <w:sz w:val="68"/>
      <w:szCs w:val="68"/>
      <w:u w:val="none"/>
    </w:rPr>
  </w:style>
  <w:style w:type="character" w:customStyle="1" w:styleId="20">
    <w:name w:val="العنوان #2"/>
    <w:basedOn w:val="2"/>
    <w:rsid w:val="00F93C09"/>
    <w:rPr>
      <w:rFonts w:ascii="Times New Roman" w:eastAsia="Times New Roman" w:hAnsi="Times New Roman" w:cs="Times New Roman"/>
      <w:b/>
      <w:bCs/>
      <w:i w:val="0"/>
      <w:iCs w:val="0"/>
      <w:smallCaps w:val="0"/>
      <w:strike w:val="0"/>
      <w:color w:val="231F20"/>
      <w:spacing w:val="0"/>
      <w:w w:val="100"/>
      <w:position w:val="0"/>
      <w:sz w:val="68"/>
      <w:szCs w:val="68"/>
      <w:u w:val="none"/>
      <w:lang w:val="en-US" w:eastAsia="en-US" w:bidi="en-US"/>
    </w:rPr>
  </w:style>
  <w:style w:type="paragraph" w:styleId="Header">
    <w:name w:val="header"/>
    <w:basedOn w:val="Normal"/>
    <w:link w:val="HeaderChar"/>
    <w:uiPriority w:val="99"/>
    <w:unhideWhenUsed/>
    <w:rsid w:val="00F93C09"/>
    <w:pPr>
      <w:tabs>
        <w:tab w:val="center" w:pos="4153"/>
        <w:tab w:val="right" w:pos="8306"/>
      </w:tabs>
    </w:pPr>
  </w:style>
  <w:style w:type="character" w:customStyle="1" w:styleId="HeaderChar">
    <w:name w:val="Header Char"/>
    <w:basedOn w:val="DefaultParagraphFont"/>
    <w:link w:val="Header"/>
    <w:uiPriority w:val="99"/>
    <w:rsid w:val="00F93C09"/>
    <w:rPr>
      <w:rFonts w:ascii="Courier New" w:eastAsia="Courier New" w:hAnsi="Courier New" w:cs="Courier New"/>
      <w:color w:val="000000"/>
      <w:sz w:val="24"/>
      <w:szCs w:val="24"/>
      <w:lang w:bidi="en-US"/>
    </w:rPr>
  </w:style>
  <w:style w:type="paragraph" w:styleId="Footer">
    <w:name w:val="footer"/>
    <w:basedOn w:val="Normal"/>
    <w:link w:val="FooterChar"/>
    <w:uiPriority w:val="99"/>
    <w:unhideWhenUsed/>
    <w:rsid w:val="00F93C09"/>
    <w:pPr>
      <w:tabs>
        <w:tab w:val="center" w:pos="4153"/>
        <w:tab w:val="right" w:pos="8306"/>
      </w:tabs>
    </w:pPr>
  </w:style>
  <w:style w:type="character" w:customStyle="1" w:styleId="FooterChar">
    <w:name w:val="Footer Char"/>
    <w:basedOn w:val="DefaultParagraphFont"/>
    <w:link w:val="Footer"/>
    <w:uiPriority w:val="99"/>
    <w:rsid w:val="00F93C09"/>
    <w:rPr>
      <w:rFonts w:ascii="Courier New" w:eastAsia="Courier New" w:hAnsi="Courier New" w:cs="Courier New"/>
      <w:color w:val="000000"/>
      <w:sz w:val="24"/>
      <w:szCs w:val="24"/>
      <w:lang w:bidi="en-US"/>
    </w:rPr>
  </w:style>
  <w:style w:type="character" w:customStyle="1" w:styleId="3">
    <w:name w:val="العنوان #3_"/>
    <w:basedOn w:val="DefaultParagraphFont"/>
    <w:rsid w:val="00F93C09"/>
    <w:rPr>
      <w:rFonts w:ascii="Century Schoolbook" w:eastAsia="Century Schoolbook" w:hAnsi="Century Schoolbook" w:cs="Century Schoolbook"/>
      <w:b/>
      <w:bCs/>
      <w:i w:val="0"/>
      <w:iCs w:val="0"/>
      <w:smallCaps w:val="0"/>
      <w:strike w:val="0"/>
      <w:sz w:val="24"/>
      <w:szCs w:val="24"/>
      <w:u w:val="none"/>
    </w:rPr>
  </w:style>
  <w:style w:type="character" w:customStyle="1" w:styleId="30">
    <w:name w:val="العنوان #3"/>
    <w:basedOn w:val="3"/>
    <w:rsid w:val="00F93C09"/>
    <w:rPr>
      <w:rFonts w:ascii="Century Schoolbook" w:eastAsia="Century Schoolbook" w:hAnsi="Century Schoolbook" w:cs="Century Schoolbook"/>
      <w:b/>
      <w:bCs/>
      <w:i w:val="0"/>
      <w:iCs w:val="0"/>
      <w:smallCaps w:val="0"/>
      <w:strike w:val="0"/>
      <w:color w:val="231F20"/>
      <w:spacing w:val="0"/>
      <w:w w:val="100"/>
      <w:position w:val="0"/>
      <w:sz w:val="24"/>
      <w:szCs w:val="24"/>
      <w:u w:val="none"/>
      <w:lang w:val="en-US" w:eastAsia="en-US" w:bidi="en-US"/>
    </w:rPr>
  </w:style>
  <w:style w:type="character" w:customStyle="1" w:styleId="21">
    <w:name w:val="نص المتن (2)_"/>
    <w:basedOn w:val="DefaultParagraphFont"/>
    <w:rsid w:val="00F93C09"/>
    <w:rPr>
      <w:rFonts w:ascii="Century Schoolbook" w:eastAsia="Century Schoolbook" w:hAnsi="Century Schoolbook" w:cs="Century Schoolbook"/>
      <w:b w:val="0"/>
      <w:bCs w:val="0"/>
      <w:i w:val="0"/>
      <w:iCs w:val="0"/>
      <w:smallCaps w:val="0"/>
      <w:strike w:val="0"/>
      <w:sz w:val="20"/>
      <w:szCs w:val="20"/>
      <w:u w:val="none"/>
    </w:rPr>
  </w:style>
  <w:style w:type="character" w:customStyle="1" w:styleId="22">
    <w:name w:val="نص المتن (2)"/>
    <w:basedOn w:val="21"/>
    <w:rsid w:val="00F93C09"/>
    <w:rPr>
      <w:rFonts w:ascii="Century Schoolbook" w:eastAsia="Century Schoolbook" w:hAnsi="Century Schoolbook" w:cs="Century Schoolbook"/>
      <w:b w:val="0"/>
      <w:bCs w:val="0"/>
      <w:i w:val="0"/>
      <w:iCs w:val="0"/>
      <w:smallCaps w:val="0"/>
      <w:strike w:val="0"/>
      <w:color w:val="231F20"/>
      <w:spacing w:val="0"/>
      <w:w w:val="100"/>
      <w:position w:val="0"/>
      <w:sz w:val="20"/>
      <w:szCs w:val="20"/>
      <w:u w:val="none"/>
      <w:lang w:val="en-US" w:eastAsia="en-US" w:bidi="en-US"/>
    </w:rPr>
  </w:style>
  <w:style w:type="character" w:customStyle="1" w:styleId="23">
    <w:name w:val="نص المتن (2) + مائل"/>
    <w:basedOn w:val="21"/>
    <w:rsid w:val="00F93C09"/>
    <w:rPr>
      <w:rFonts w:ascii="Century Schoolbook" w:eastAsia="Century Schoolbook" w:hAnsi="Century Schoolbook" w:cs="Century Schoolbook"/>
      <w:b w:val="0"/>
      <w:bCs w:val="0"/>
      <w:i/>
      <w:iCs/>
      <w:smallCaps w:val="0"/>
      <w:strike w:val="0"/>
      <w:color w:val="231F20"/>
      <w:spacing w:val="0"/>
      <w:w w:val="100"/>
      <w:position w:val="0"/>
      <w:sz w:val="20"/>
      <w:szCs w:val="20"/>
      <w:u w:val="none"/>
      <w:lang w:val="en-US" w:eastAsia="en-US" w:bidi="en-US"/>
    </w:rPr>
  </w:style>
  <w:style w:type="paragraph" w:styleId="BalloonText">
    <w:name w:val="Balloon Text"/>
    <w:basedOn w:val="Normal"/>
    <w:link w:val="BalloonTextChar"/>
    <w:uiPriority w:val="99"/>
    <w:semiHidden/>
    <w:unhideWhenUsed/>
    <w:rsid w:val="003D227F"/>
    <w:rPr>
      <w:rFonts w:ascii="Tahoma" w:hAnsi="Tahoma" w:cs="Tahoma"/>
      <w:sz w:val="16"/>
      <w:szCs w:val="16"/>
    </w:rPr>
  </w:style>
  <w:style w:type="character" w:customStyle="1" w:styleId="BalloonTextChar">
    <w:name w:val="Balloon Text Char"/>
    <w:basedOn w:val="DefaultParagraphFont"/>
    <w:link w:val="BalloonText"/>
    <w:uiPriority w:val="99"/>
    <w:semiHidden/>
    <w:rsid w:val="003D227F"/>
    <w:rPr>
      <w:rFonts w:ascii="Tahoma" w:eastAsia="Courier New"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2019-02-07T15:26:00Z</dcterms:created>
  <dcterms:modified xsi:type="dcterms:W3CDTF">2019-02-12T15:58:00Z</dcterms:modified>
</cp:coreProperties>
</file>